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r w:rsidRPr="00342D20">
        <w:rPr>
          <w:rFonts w:ascii="Times New Roman" w:hAnsi="Times New Roman" w:cs="Times New Roman"/>
          <w:sz w:val="24"/>
          <w:szCs w:val="24"/>
        </w:rPr>
        <w:t>Student`s name</w:t>
      </w:r>
    </w:p>
    <w:p w:rsidR="00342D20" w:rsidRPr="00342D20" w:rsidRDefault="00342D20" w:rsidP="00342D20">
      <w:pPr>
        <w:spacing w:line="480" w:lineRule="auto"/>
        <w:rPr>
          <w:rFonts w:ascii="Times New Roman" w:hAnsi="Times New Roman" w:cs="Times New Roman"/>
          <w:sz w:val="24"/>
          <w:szCs w:val="24"/>
        </w:rPr>
      </w:pPr>
      <w:r w:rsidRPr="00342D20">
        <w:rPr>
          <w:rFonts w:ascii="Times New Roman" w:hAnsi="Times New Roman" w:cs="Times New Roman"/>
          <w:sz w:val="24"/>
          <w:szCs w:val="24"/>
        </w:rPr>
        <w:t>Instructor`s name</w:t>
      </w:r>
    </w:p>
    <w:p w:rsidR="00342D20" w:rsidRPr="00342D20" w:rsidRDefault="00342D20" w:rsidP="00342D20">
      <w:pPr>
        <w:spacing w:line="480" w:lineRule="auto"/>
        <w:rPr>
          <w:rFonts w:ascii="Times New Roman" w:hAnsi="Times New Roman" w:cs="Times New Roman"/>
          <w:sz w:val="24"/>
          <w:szCs w:val="24"/>
        </w:rPr>
      </w:pPr>
      <w:r w:rsidRPr="00342D20">
        <w:rPr>
          <w:rFonts w:ascii="Times New Roman" w:hAnsi="Times New Roman" w:cs="Times New Roman"/>
          <w:sz w:val="24"/>
          <w:szCs w:val="24"/>
        </w:rPr>
        <w:t>Course</w:t>
      </w:r>
    </w:p>
    <w:p w:rsidR="00342D20" w:rsidRPr="00342D20" w:rsidRDefault="00342D20" w:rsidP="00342D20">
      <w:pPr>
        <w:spacing w:line="480" w:lineRule="auto"/>
        <w:rPr>
          <w:rFonts w:ascii="Times New Roman" w:hAnsi="Times New Roman" w:cs="Times New Roman"/>
          <w:sz w:val="24"/>
          <w:szCs w:val="24"/>
        </w:rPr>
      </w:pPr>
      <w:r w:rsidRPr="00342D20">
        <w:rPr>
          <w:rFonts w:ascii="Times New Roman" w:hAnsi="Times New Roman" w:cs="Times New Roman"/>
          <w:sz w:val="24"/>
          <w:szCs w:val="24"/>
        </w:rPr>
        <w:t xml:space="preserve">Date </w:t>
      </w:r>
    </w:p>
    <w:p w:rsidR="00342D20" w:rsidRPr="00342D20" w:rsidRDefault="00342D20" w:rsidP="00342D20">
      <w:pPr>
        <w:spacing w:line="480" w:lineRule="auto"/>
        <w:jc w:val="center"/>
        <w:rPr>
          <w:rFonts w:ascii="Times New Roman" w:hAnsi="Times New Roman" w:cs="Times New Roman"/>
          <w:b/>
          <w:sz w:val="24"/>
          <w:szCs w:val="24"/>
        </w:rPr>
      </w:pPr>
      <w:r w:rsidRPr="00342D20">
        <w:rPr>
          <w:rFonts w:ascii="Times New Roman" w:hAnsi="Times New Roman" w:cs="Times New Roman"/>
          <w:b/>
          <w:sz w:val="24"/>
          <w:szCs w:val="24"/>
        </w:rPr>
        <w:t>Tactics used in enhancing security</w:t>
      </w:r>
    </w:p>
    <w:p w:rsidR="00342D20" w:rsidRPr="00342D20" w:rsidRDefault="00342D20" w:rsidP="00342D20">
      <w:pPr>
        <w:spacing w:line="480" w:lineRule="auto"/>
        <w:rPr>
          <w:rFonts w:ascii="Times New Roman" w:hAnsi="Times New Roman" w:cs="Times New Roman"/>
          <w:b/>
          <w:sz w:val="24"/>
          <w:szCs w:val="24"/>
        </w:rPr>
      </w:pPr>
      <w:r w:rsidRPr="00342D20">
        <w:rPr>
          <w:rFonts w:ascii="Times New Roman" w:hAnsi="Times New Roman" w:cs="Times New Roman"/>
          <w:b/>
          <w:sz w:val="24"/>
          <w:szCs w:val="24"/>
        </w:rPr>
        <w:t>Introduction</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National security is a fundamental issue that no nation can afford to pay lip service to and prosper in other areas. That is to say every other aspect hinges on how safe the country as a whole is, and so it is a prime determinant of the progress that would be achieved. The threat to security and national safety could be both domestic and international. It is not, however, uncommon to find the two factions operating in an interwoven fashion to make security agencies burn the midnight oil as they explore for avenues of solutions to this menace. </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At the center of the unrest is the citizenry whom the government is responsible for regarding security and safety which to them, of course, translates to a right. It is prudential also to note that those who pose threats to security and in so doing jeopardizing operations of other business are part of the citizenry who in most cases are known to them. The groups that operate on frontiers those security agencies deem, basing on a comprehensive analysis, as an impediment to the achievement of reasonable safety or they are themselves a threat to the same are profiled as outlaws. An outlaw is a group </w:t>
      </w:r>
      <w:r w:rsidRPr="00342D20">
        <w:rPr>
          <w:rFonts w:ascii="Times New Roman" w:hAnsi="Times New Roman" w:cs="Times New Roman"/>
          <w:sz w:val="24"/>
          <w:szCs w:val="24"/>
        </w:rPr>
        <w:lastRenderedPageBreak/>
        <w:t>or person who is a fugitive on the run having committed or otherwise conducted activities that warrant a ban.</w:t>
      </w:r>
    </w:p>
    <w:p w:rsidR="00342D20" w:rsidRPr="00342D20" w:rsidRDefault="00342D20" w:rsidP="00342D20">
      <w:pPr>
        <w:spacing w:line="480" w:lineRule="auto"/>
        <w:rPr>
          <w:rFonts w:ascii="Times New Roman" w:hAnsi="Times New Roman" w:cs="Times New Roman"/>
          <w:b/>
          <w:sz w:val="24"/>
          <w:szCs w:val="24"/>
        </w:rPr>
      </w:pPr>
      <w:r w:rsidRPr="00342D20">
        <w:rPr>
          <w:rFonts w:ascii="Times New Roman" w:hAnsi="Times New Roman" w:cs="Times New Roman"/>
          <w:b/>
          <w:sz w:val="24"/>
          <w:szCs w:val="24"/>
        </w:rPr>
        <w:t>In several countries</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It is without a doubt that terrorism falls into this category as they are groups that are in clash with governments they believe, as per their assessment and evaluation, to be not favorable. Several countries have been caused massive damages and loss of lives with notable examples being Germany, Israel, Northern Ireland, </w:t>
      </w:r>
      <w:proofErr w:type="gramStart"/>
      <w:r w:rsidRPr="00342D20">
        <w:rPr>
          <w:rFonts w:ascii="Times New Roman" w:hAnsi="Times New Roman" w:cs="Times New Roman"/>
          <w:sz w:val="24"/>
          <w:szCs w:val="24"/>
        </w:rPr>
        <w:t>Italy</w:t>
      </w:r>
      <w:proofErr w:type="gramEnd"/>
      <w:r w:rsidRPr="00342D20">
        <w:rPr>
          <w:rFonts w:ascii="Times New Roman" w:hAnsi="Times New Roman" w:cs="Times New Roman"/>
          <w:sz w:val="24"/>
          <w:szCs w:val="24"/>
        </w:rPr>
        <w:t xml:space="preserve"> and of course the USA. The Red Army Faction operated mostly in West Germany staging bank robberies, bombings, and kidnappings that mostly targeted high ranking government and political officials. They were mostly associated with the Marxist doctrines and other left-wing revolutionary groups (Andrew, 2).</w:t>
      </w:r>
    </w:p>
    <w:p w:rsidR="00342D20" w:rsidRPr="00342D20" w:rsidRDefault="00342D20" w:rsidP="00342D20">
      <w:pPr>
        <w:spacing w:line="480" w:lineRule="auto"/>
        <w:rPr>
          <w:rFonts w:ascii="Times New Roman" w:hAnsi="Times New Roman" w:cs="Times New Roman"/>
          <w:sz w:val="24"/>
          <w:szCs w:val="24"/>
        </w:rPr>
      </w:pPr>
      <w:r w:rsidRPr="00342D20">
        <w:rPr>
          <w:rFonts w:ascii="Times New Roman" w:hAnsi="Times New Roman" w:cs="Times New Roman"/>
          <w:sz w:val="24"/>
          <w:szCs w:val="24"/>
        </w:rPr>
        <w:t xml:space="preserve"> </w:t>
      </w:r>
      <w:r>
        <w:rPr>
          <w:rFonts w:ascii="Times New Roman" w:hAnsi="Times New Roman" w:cs="Times New Roman"/>
          <w:sz w:val="24"/>
          <w:szCs w:val="24"/>
        </w:rPr>
        <w:tab/>
      </w:r>
      <w:r w:rsidRPr="00342D20">
        <w:rPr>
          <w:rFonts w:ascii="Times New Roman" w:hAnsi="Times New Roman" w:cs="Times New Roman"/>
          <w:sz w:val="24"/>
          <w:szCs w:val="24"/>
        </w:rPr>
        <w:t xml:space="preserve"> Twenty-five bombings, 163 kidnappings, 100 people injured and 31 killings including the attorney general of West Germany were to credit to this group between 1970 and 1979. The government swung into action to counter these activities by making it mandatory for all government employees to take a loyalty oath. However, this was heavily criticized for leading to the introduction of other measures. One involved criminalization and illegalization of formation of an association with criminal groups which was effected in 1976. In addition to this in the subsequent enactment of laws, there was an increase of police powers and the courts granted permission for search of buildings for suspects (Andrew, 4). The measures were fortified with the establishment of checkpoints by the police with the intent for identifications.  Initially, the government granted concessions to the RAF in hostage situations but that led to more bombings, and </w:t>
      </w:r>
      <w:r w:rsidRPr="00342D20">
        <w:rPr>
          <w:rFonts w:ascii="Times New Roman" w:hAnsi="Times New Roman" w:cs="Times New Roman"/>
          <w:sz w:val="24"/>
          <w:szCs w:val="24"/>
        </w:rPr>
        <w:lastRenderedPageBreak/>
        <w:t>the councilor made it a policy of no negotiations with terrorists although security experts warn to`` never say never``.</w:t>
      </w:r>
    </w:p>
    <w:p w:rsid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The Red Brigades of Italy began forming in auto garages in the 1970s with the drive being that Marxist workers were now up to the task of rising against their capitalist masters. Their technique of kneecapping was notorious and in a ten year period between 1970 and 1980 led to the killing of over 400 people and more than 10,000 acts of political violence ( Silvio, 36).  It was perhaps the kidnapping and brutal killing of Aldo Moro, the former leader of Italy that made Italy shake off whatever mercy it had for this ugly group. The kidnapping of General James Lee Dozier, an American NATO commander, made Italy to increase its intelligence leading to his rescue.</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 In crushing this uprising, the Italian government increased, as in Germany, police powers where inspections were carried out. Identifications were stepped up, and those who refused to comply would be detained and questioned for up to 24 hours without the presence or the provision of their lawyers (Silvio, 50). The government also made it a crime, to form, join or otherwise promote the activities of any criminal group. One notable move deemed as the most successful was the reduction of sentences of the gang members as convicted as long as they volunteered information about the gang and other gang members.</w:t>
      </w:r>
    </w:p>
    <w:p w:rsid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The religious war in Northern Ireland has also destabilized the peace of not only the country but also the mainland of Britain. The parliament in 1920 divided Ireland into two, leading to the formation of the Irish Republic composed of 90% Catholics. It retained the Northern six counties, also called Ulster which has 60% Protestants and 40% </w:t>
      </w:r>
      <w:r w:rsidRPr="00342D20">
        <w:rPr>
          <w:rFonts w:ascii="Times New Roman" w:hAnsi="Times New Roman" w:cs="Times New Roman"/>
          <w:sz w:val="24"/>
          <w:szCs w:val="24"/>
        </w:rPr>
        <w:lastRenderedPageBreak/>
        <w:t>Catholics as part of Great Britain. Over the years, these two factions have taken different political paths with extreme avenues sought to further their interest (O'Leary, Brendan, and McGarry, 20).  While the Catholics minority wants the freedom to join the Irish Republic, the Protestants have remained of the opinion that maintaining the status quo would in the best interest of the country. It remains clear that the Protestants don't want the dissociation as that would make them the minority in the Irish Republic and the Catholics want to break free for they feel suppressed by the Protestants. Over the past 25 years, more than 800 bombings have taken place with over 3000 people losing their lives (O'Leary, Brendan, and McGarry, 23).</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  The first response to this was in 1969 when the British government sent its Army to quell the violence that had risen to overly dangerous levels. It remains them as providing last resort oversight should the need for its intervention arises. The Northern Ireland Act, also known as the Emergency provisions came into play giving the police and the Prosecutors significant powers to arrest and prosecute suspects. In some cases, the police conducted searches without search warrants. One such change in policing protocol gave the police powers to detain suspects for a whopping 72 hours before they could bring them before a judge (O'Leary, Brendan, and McGarry, 23). There was also the abolishment of jury trials in criminal cases as intimidation of jurors had become rampant. In the submission of evidence, the Prosecutors could do so through affidavits without necessarily calling in witnesses to testify in person. The government also made a dramatic change of requirements in legal proceedings where cases involving illegal possession of firearms had the burden of proof shifted to the defendant.</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lastRenderedPageBreak/>
        <w:t xml:space="preserve">Perhaps no nation on earth has had numerous encounters with terrorism more than Israel has. What is mostly at the fore is its row with Palestine, for example, HAMAS and the Islamic Resistance Movement who have carried out suicidal attacks and bombings that have claimed several lives and left massive destruction of property (Andrew, 4). What is notable is its successful rescue of hostages that had been held at the Entebbe International Airport in 1976 with only one casualty on the side of the commandos. </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The Israeli government in addressing this issue to secure its borders and citizens put in place several measures. It employed extensive intelligence gathering techniques and security systems on what it suspects as terror groups. Its intelligence agency equivalent to the FBI of the USA, the Mossad maintains files on terror suspects while using its agents to infiltrate the gangs for information gathering. What it does what people have observed as extreme is the assassination of leaders and carrying out preemptive strikes in their supposed hideouts. Scrutiny extends to airlines where passengers go through rigorous screening involving detailed and personal questions (Andrew, 5). The agencies carry out the separation of travel mates and pose questions separately for analysis of contradictions and any nervousness and reluctance leads to further detailed questioning.  Profiling technique gets also applied where passenger details are counterchecked against the Interpol list of suspected persons. Matching luggage with the passenger is a common practice where they go through intense X-ray screening. There was also the inception of the use of heavily armed security personnel who travel on the planes to stop any hijackings. And to avoid the hijackers from taking control of the planes, they lock the cockpit door once the pilots enter and there is no opening until it touches down (Andrew, 5).</w:t>
      </w:r>
    </w:p>
    <w:p w:rsidR="00342D20" w:rsidRPr="00342D20" w:rsidRDefault="00342D20" w:rsidP="00342D20">
      <w:pPr>
        <w:spacing w:line="480" w:lineRule="auto"/>
        <w:rPr>
          <w:rFonts w:ascii="Times New Roman" w:hAnsi="Times New Roman" w:cs="Times New Roman"/>
          <w:b/>
          <w:sz w:val="24"/>
          <w:szCs w:val="24"/>
        </w:rPr>
      </w:pPr>
      <w:r w:rsidRPr="00342D20">
        <w:rPr>
          <w:rFonts w:ascii="Times New Roman" w:hAnsi="Times New Roman" w:cs="Times New Roman"/>
          <w:b/>
          <w:sz w:val="24"/>
          <w:szCs w:val="24"/>
        </w:rPr>
        <w:lastRenderedPageBreak/>
        <w:t>The present techniques on gang violence</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The USA has been dubbed the enemy of modern society by various terrorist groups and as such has been in fights and combats with one but numerous dangerous groups. What precipitate the stance are various occurrences that entered into history and that form the basis of reference to this effect. The September 11 attacks and the 1993 bombing of the World Trade Center and other outside threats such as the bombing of the Nairobi Embassy among other mentions are enough or the authorities to formulate laws aimed at combating crimes (Jones, Gareth, and Rodgers, 208).  It is prudential to note that what forms terror groups is always a spark and designing laws that cut the gangs flat; gangs responsible for the unrest and lack of security and safety at various levels would be the springboard towards trimming the operations of larger terror groups. At the center of the fight against crimes </w:t>
      </w:r>
      <w:proofErr w:type="gramStart"/>
      <w:r w:rsidRPr="00342D20">
        <w:rPr>
          <w:rFonts w:ascii="Times New Roman" w:hAnsi="Times New Roman" w:cs="Times New Roman"/>
          <w:sz w:val="24"/>
          <w:szCs w:val="24"/>
        </w:rPr>
        <w:t>is</w:t>
      </w:r>
      <w:proofErr w:type="gramEnd"/>
      <w:r w:rsidRPr="00342D20">
        <w:rPr>
          <w:rFonts w:ascii="Times New Roman" w:hAnsi="Times New Roman" w:cs="Times New Roman"/>
          <w:sz w:val="24"/>
          <w:szCs w:val="24"/>
        </w:rPr>
        <w:t xml:space="preserve"> the FBI and the CIA. There is a comparison between the strategies used in the above operations during those times and the techniques that current agencies employ in fighting gangs. Perhaps it is because of the nature of operations of gangs, though there are slight differences of course due to the increasing sophistication of systems. </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It is only possible that one fights, and successfully for that matter, against a group that they have information about. To that effect intelligence gathering has been an integral part where undercover agents penetrate the territories of insurgents in the guise of the intent of joining but in fact relaying information back (Jones, Gareth, and Rodgers, 215).   Furthermore, the security agencies conduct searches, although there are restrictions where having search warrants is a prerequisite. One issue at the fore of </w:t>
      </w:r>
      <w:r w:rsidRPr="00342D20">
        <w:rPr>
          <w:rFonts w:ascii="Times New Roman" w:hAnsi="Times New Roman" w:cs="Times New Roman"/>
          <w:sz w:val="24"/>
          <w:szCs w:val="24"/>
        </w:rPr>
        <w:lastRenderedPageBreak/>
        <w:t xml:space="preserve">successful crime combat is intelligence sharing, and that has been quite a practice between the FBI and the CIA. </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It is undeniable that search warrants hold, as required and provided for by the laws, hold back investigations while giving the suspects more time to hide the incriminating evidence by use of the same laws. The Israel nature as the reference has been applied, and that brings to the limelight the concept of covert operations (Jones, Gareth, and Rodgers, 210).   Agencies use these operations where they are official to a closed circle of the top unit directors but are unofficial on the official manifest. There have been mounting of checkpoints at various levels for identification purposes and that as highlighted above was common practice during the fight against terror groups. The design of the laws is such that suspects can be detained for 72 hours before the prosecutor decides the type of charges to institute against the defendants. </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Several factors contribute to people joining or forming gangs. However, there could be a shortfall on the side of the authorities that do not prevent one from having an association of whatever nature with gangs. The effective fight against this crime gangs would best be dealt with from the very beginning, and that is where criminalizing and illegalization of having these associations takes the stage. It was as illegal in some of the above incidences to join gangs as it is at present times with penalties of violation or non-adherence to this provision stated out.</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 xml:space="preserve">In some cases, especially the recent Chicago issue, the unrests could spiral out of control and take too long to calm. In such case, as seen in the Northern Ireland and the British Scenario, the army could be used. Although this is on rare occasions, the 1952 </w:t>
      </w:r>
      <w:r w:rsidRPr="00342D20">
        <w:rPr>
          <w:rFonts w:ascii="Times New Roman" w:hAnsi="Times New Roman" w:cs="Times New Roman"/>
          <w:sz w:val="24"/>
          <w:szCs w:val="24"/>
        </w:rPr>
        <w:lastRenderedPageBreak/>
        <w:t>Armed Forces Reserve Act provides for the federalization of the National Guard (Berlin and Rumore, 4).</w:t>
      </w:r>
    </w:p>
    <w:p w:rsidR="00342D20" w:rsidRPr="00342D20" w:rsidRDefault="00342D20" w:rsidP="00342D20">
      <w:pPr>
        <w:spacing w:line="480" w:lineRule="auto"/>
        <w:ind w:firstLine="720"/>
        <w:rPr>
          <w:rFonts w:ascii="Times New Roman" w:hAnsi="Times New Roman" w:cs="Times New Roman"/>
          <w:sz w:val="24"/>
          <w:szCs w:val="24"/>
        </w:rPr>
      </w:pPr>
      <w:r w:rsidRPr="00342D20">
        <w:rPr>
          <w:rFonts w:ascii="Times New Roman" w:hAnsi="Times New Roman" w:cs="Times New Roman"/>
          <w:sz w:val="24"/>
          <w:szCs w:val="24"/>
        </w:rPr>
        <w:t>When one is found guilty, they are liable to imprisonment or fines or both on conviction for a period that is in alignment with the gravity of their wrongs. Sentencing was as much used in the past as they are now, only that the above cases had reduced sentences for gang members who gave up information on the operations of the gangs (Jones, Gareth, and Rodgers, 220).  That is an equivalent of witness protection programs that the States and Federal governments employ in gathering information that aids in crackdowns on gang members.</w:t>
      </w: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jc w:val="center"/>
        <w:rPr>
          <w:rFonts w:ascii="Times New Roman" w:hAnsi="Times New Roman" w:cs="Times New Roman"/>
          <w:sz w:val="24"/>
          <w:szCs w:val="24"/>
        </w:rPr>
      </w:pPr>
      <w:r w:rsidRPr="00342D20">
        <w:rPr>
          <w:rFonts w:ascii="Times New Roman" w:hAnsi="Times New Roman" w:cs="Times New Roman"/>
          <w:sz w:val="24"/>
          <w:szCs w:val="24"/>
        </w:rPr>
        <w:lastRenderedPageBreak/>
        <w:t>Works cited</w:t>
      </w:r>
    </w:p>
    <w:p w:rsidR="00342D20" w:rsidRPr="00342D20" w:rsidRDefault="00342D20" w:rsidP="00342D20">
      <w:pPr>
        <w:spacing w:line="360" w:lineRule="auto"/>
        <w:ind w:left="720" w:hanging="720"/>
        <w:rPr>
          <w:rFonts w:ascii="Times New Roman" w:hAnsi="Times New Roman" w:cs="Times New Roman"/>
          <w:sz w:val="24"/>
          <w:szCs w:val="24"/>
        </w:rPr>
      </w:pPr>
      <w:r w:rsidRPr="00342D20">
        <w:rPr>
          <w:rFonts w:ascii="Times New Roman" w:hAnsi="Times New Roman" w:cs="Times New Roman"/>
          <w:sz w:val="24"/>
          <w:szCs w:val="24"/>
        </w:rPr>
        <w:t>Costly, Andrew. "Terrorism: How Have Other Countries Handled It? - Constitutional Rights Foundation"</w:t>
      </w:r>
      <w:proofErr w:type="gramStart"/>
      <w:r w:rsidRPr="00342D20">
        <w:rPr>
          <w:rFonts w:ascii="Times New Roman" w:hAnsi="Times New Roman" w:cs="Times New Roman"/>
          <w:sz w:val="24"/>
          <w:szCs w:val="24"/>
        </w:rPr>
        <w:t>,  2018</w:t>
      </w:r>
      <w:proofErr w:type="gramEnd"/>
      <w:r w:rsidRPr="00342D20">
        <w:rPr>
          <w:rFonts w:ascii="Times New Roman" w:hAnsi="Times New Roman" w:cs="Times New Roman"/>
          <w:sz w:val="24"/>
          <w:szCs w:val="24"/>
        </w:rPr>
        <w:t>.</w:t>
      </w:r>
    </w:p>
    <w:p w:rsidR="00342D20" w:rsidRPr="00342D20" w:rsidRDefault="00342D20" w:rsidP="00342D20">
      <w:pPr>
        <w:spacing w:line="360" w:lineRule="auto"/>
        <w:ind w:left="720" w:hanging="720"/>
        <w:rPr>
          <w:rFonts w:ascii="Times New Roman" w:hAnsi="Times New Roman" w:cs="Times New Roman"/>
          <w:sz w:val="24"/>
          <w:szCs w:val="24"/>
        </w:rPr>
      </w:pPr>
      <w:r w:rsidRPr="00342D20">
        <w:rPr>
          <w:rFonts w:ascii="Times New Roman" w:hAnsi="Times New Roman" w:cs="Times New Roman"/>
          <w:sz w:val="24"/>
          <w:szCs w:val="24"/>
        </w:rPr>
        <w:t xml:space="preserve">Jonathan Berlin and </w:t>
      </w:r>
      <w:proofErr w:type="spellStart"/>
      <w:r w:rsidRPr="00342D20">
        <w:rPr>
          <w:rFonts w:ascii="Times New Roman" w:hAnsi="Times New Roman" w:cs="Times New Roman"/>
          <w:sz w:val="24"/>
          <w:szCs w:val="24"/>
        </w:rPr>
        <w:t>Kori</w:t>
      </w:r>
      <w:proofErr w:type="spellEnd"/>
      <w:r w:rsidRPr="00342D20">
        <w:rPr>
          <w:rFonts w:ascii="Times New Roman" w:hAnsi="Times New Roman" w:cs="Times New Roman"/>
          <w:sz w:val="24"/>
          <w:szCs w:val="24"/>
        </w:rPr>
        <w:t xml:space="preserve"> Rumore; Twelve times the president called in the military domestically; 2017.</w:t>
      </w:r>
    </w:p>
    <w:p w:rsidR="00342D20" w:rsidRPr="00342D20" w:rsidRDefault="00342D20" w:rsidP="00342D20">
      <w:pPr>
        <w:spacing w:line="360" w:lineRule="auto"/>
        <w:ind w:left="720" w:hanging="720"/>
        <w:rPr>
          <w:rFonts w:ascii="Times New Roman" w:hAnsi="Times New Roman" w:cs="Times New Roman"/>
          <w:sz w:val="24"/>
          <w:szCs w:val="24"/>
        </w:rPr>
      </w:pPr>
      <w:r w:rsidRPr="00342D20">
        <w:rPr>
          <w:rFonts w:ascii="Times New Roman" w:hAnsi="Times New Roman" w:cs="Times New Roman"/>
          <w:sz w:val="24"/>
          <w:szCs w:val="24"/>
        </w:rPr>
        <w:t xml:space="preserve">Jones, Gareth A., and Dennis Rodgers. "Gangs, guns and the city: Urban policy in dangerous places." The city in urban poverty. Palgrave Macmillan, London, 2015. </w:t>
      </w:r>
      <w:proofErr w:type="gramStart"/>
      <w:r w:rsidRPr="00342D20">
        <w:rPr>
          <w:rFonts w:ascii="Times New Roman" w:hAnsi="Times New Roman" w:cs="Times New Roman"/>
          <w:sz w:val="24"/>
          <w:szCs w:val="24"/>
        </w:rPr>
        <w:t>205-226.</w:t>
      </w:r>
      <w:proofErr w:type="gramEnd"/>
    </w:p>
    <w:p w:rsidR="00342D20" w:rsidRPr="00342D20" w:rsidRDefault="00342D20" w:rsidP="00342D20">
      <w:pPr>
        <w:spacing w:line="360" w:lineRule="auto"/>
        <w:ind w:left="720" w:hanging="720"/>
        <w:rPr>
          <w:rFonts w:ascii="Times New Roman" w:hAnsi="Times New Roman" w:cs="Times New Roman"/>
          <w:sz w:val="24"/>
          <w:szCs w:val="24"/>
        </w:rPr>
      </w:pPr>
      <w:r w:rsidRPr="00342D20">
        <w:rPr>
          <w:rFonts w:ascii="Times New Roman" w:hAnsi="Times New Roman" w:cs="Times New Roman"/>
          <w:sz w:val="24"/>
          <w:szCs w:val="24"/>
        </w:rPr>
        <w:t>O'Leary, Brendan, and John McGarry. The politics of antagonism: understanding Northern Ireland. Bloomsbury Publishing, 2016.</w:t>
      </w:r>
    </w:p>
    <w:p w:rsidR="00342D20" w:rsidRPr="00342D20" w:rsidRDefault="00342D20" w:rsidP="00342D20">
      <w:pPr>
        <w:spacing w:line="360" w:lineRule="auto"/>
        <w:ind w:left="720" w:hanging="720"/>
        <w:rPr>
          <w:rFonts w:ascii="Times New Roman" w:hAnsi="Times New Roman" w:cs="Times New Roman"/>
          <w:sz w:val="24"/>
          <w:szCs w:val="24"/>
        </w:rPr>
      </w:pPr>
      <w:r w:rsidRPr="00342D20">
        <w:rPr>
          <w:rFonts w:ascii="Times New Roman" w:hAnsi="Times New Roman" w:cs="Times New Roman"/>
          <w:sz w:val="24"/>
          <w:szCs w:val="24"/>
        </w:rPr>
        <w:t xml:space="preserve">Pons, Silvio. "Cold War Republic: The ‘External </w:t>
      </w:r>
      <w:proofErr w:type="spellStart"/>
      <w:r w:rsidRPr="00342D20">
        <w:rPr>
          <w:rFonts w:ascii="Times New Roman" w:hAnsi="Times New Roman" w:cs="Times New Roman"/>
          <w:sz w:val="24"/>
          <w:szCs w:val="24"/>
        </w:rPr>
        <w:t>Constraint'In</w:t>
      </w:r>
      <w:proofErr w:type="spellEnd"/>
      <w:r w:rsidRPr="00342D20">
        <w:rPr>
          <w:rFonts w:ascii="Times New Roman" w:hAnsi="Times New Roman" w:cs="Times New Roman"/>
          <w:sz w:val="24"/>
          <w:szCs w:val="24"/>
        </w:rPr>
        <w:t xml:space="preserve"> Italy </w:t>
      </w:r>
      <w:proofErr w:type="gramStart"/>
      <w:r w:rsidRPr="00342D20">
        <w:rPr>
          <w:rFonts w:ascii="Times New Roman" w:hAnsi="Times New Roman" w:cs="Times New Roman"/>
          <w:sz w:val="24"/>
          <w:szCs w:val="24"/>
        </w:rPr>
        <w:t>During</w:t>
      </w:r>
      <w:proofErr w:type="gramEnd"/>
      <w:r w:rsidRPr="00342D20">
        <w:rPr>
          <w:rFonts w:ascii="Times New Roman" w:hAnsi="Times New Roman" w:cs="Times New Roman"/>
          <w:sz w:val="24"/>
          <w:szCs w:val="24"/>
        </w:rPr>
        <w:t xml:space="preserve"> The 1970s." Italy in the International System from Détente to the End of the Cold War. Palgrave Macmillan, Cham, 2018. </w:t>
      </w:r>
      <w:proofErr w:type="gramStart"/>
      <w:r w:rsidRPr="00342D20">
        <w:rPr>
          <w:rFonts w:ascii="Times New Roman" w:hAnsi="Times New Roman" w:cs="Times New Roman"/>
          <w:sz w:val="24"/>
          <w:szCs w:val="24"/>
        </w:rPr>
        <w:t>35-67.</w:t>
      </w:r>
      <w:proofErr w:type="gramEnd"/>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342D20" w:rsidRPr="00342D20" w:rsidRDefault="00342D20" w:rsidP="00342D20">
      <w:pPr>
        <w:spacing w:line="480" w:lineRule="auto"/>
        <w:rPr>
          <w:rFonts w:ascii="Times New Roman" w:hAnsi="Times New Roman" w:cs="Times New Roman"/>
          <w:sz w:val="24"/>
          <w:szCs w:val="24"/>
        </w:rPr>
      </w:pPr>
    </w:p>
    <w:p w:rsidR="007C1419" w:rsidRPr="00350FAA" w:rsidRDefault="007C1419" w:rsidP="007C1419">
      <w:pPr>
        <w:spacing w:line="480" w:lineRule="auto"/>
        <w:rPr>
          <w:rFonts w:ascii="Times New Roman" w:hAnsi="Times New Roman" w:cs="Times New Roman"/>
          <w:sz w:val="24"/>
          <w:szCs w:val="24"/>
        </w:rPr>
      </w:pPr>
    </w:p>
    <w:sectPr w:rsidR="007C1419" w:rsidRPr="00350FAA" w:rsidSect="005D3514">
      <w:headerReference w:type="default" r:id="rId6"/>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6B5" w:rsidRDefault="004306B5" w:rsidP="00845B7D">
      <w:pPr>
        <w:spacing w:after="0" w:line="240" w:lineRule="auto"/>
      </w:pPr>
      <w:r>
        <w:separator/>
      </w:r>
    </w:p>
  </w:endnote>
  <w:endnote w:type="continuationSeparator" w:id="0">
    <w:p w:rsidR="004306B5" w:rsidRDefault="004306B5" w:rsidP="00845B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6B5" w:rsidRDefault="004306B5" w:rsidP="00845B7D">
      <w:pPr>
        <w:spacing w:after="0" w:line="240" w:lineRule="auto"/>
      </w:pPr>
      <w:r>
        <w:separator/>
      </w:r>
    </w:p>
  </w:footnote>
  <w:footnote w:type="continuationSeparator" w:id="0">
    <w:p w:rsidR="004306B5" w:rsidRDefault="004306B5" w:rsidP="00845B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5695816"/>
      <w:docPartObj>
        <w:docPartGallery w:val="Page Numbers (Top of Page)"/>
        <w:docPartUnique/>
      </w:docPartObj>
    </w:sdtPr>
    <w:sdtEndPr>
      <w:rPr>
        <w:rFonts w:ascii="Times New Roman" w:hAnsi="Times New Roman" w:cs="Times New Roman"/>
        <w:noProof/>
        <w:sz w:val="24"/>
        <w:szCs w:val="24"/>
      </w:rPr>
    </w:sdtEndPr>
    <w:sdtContent>
      <w:p w:rsidR="00845B7D" w:rsidRPr="00845B7D" w:rsidRDefault="00845B7D">
        <w:pPr>
          <w:pStyle w:val="Header"/>
          <w:jc w:val="right"/>
          <w:rPr>
            <w:rFonts w:ascii="Times New Roman" w:hAnsi="Times New Roman" w:cs="Times New Roman"/>
            <w:sz w:val="24"/>
            <w:szCs w:val="24"/>
          </w:rPr>
        </w:pPr>
        <w:r w:rsidRPr="00845B7D">
          <w:rPr>
            <w:rFonts w:ascii="Times New Roman" w:hAnsi="Times New Roman" w:cs="Times New Roman"/>
            <w:sz w:val="24"/>
            <w:szCs w:val="24"/>
          </w:rPr>
          <w:t xml:space="preserve">Surname </w:t>
        </w:r>
        <w:r w:rsidR="00B97CB5" w:rsidRPr="00845B7D">
          <w:rPr>
            <w:rFonts w:ascii="Times New Roman" w:hAnsi="Times New Roman" w:cs="Times New Roman"/>
            <w:sz w:val="24"/>
            <w:szCs w:val="24"/>
          </w:rPr>
          <w:fldChar w:fldCharType="begin"/>
        </w:r>
        <w:r w:rsidRPr="00845B7D">
          <w:rPr>
            <w:rFonts w:ascii="Times New Roman" w:hAnsi="Times New Roman" w:cs="Times New Roman"/>
            <w:sz w:val="24"/>
            <w:szCs w:val="24"/>
          </w:rPr>
          <w:instrText xml:space="preserve"> PAGE   \* MERGEFORMAT </w:instrText>
        </w:r>
        <w:r w:rsidR="00B97CB5" w:rsidRPr="00845B7D">
          <w:rPr>
            <w:rFonts w:ascii="Times New Roman" w:hAnsi="Times New Roman" w:cs="Times New Roman"/>
            <w:sz w:val="24"/>
            <w:szCs w:val="24"/>
          </w:rPr>
          <w:fldChar w:fldCharType="separate"/>
        </w:r>
        <w:r w:rsidR="00342D20">
          <w:rPr>
            <w:rFonts w:ascii="Times New Roman" w:hAnsi="Times New Roman" w:cs="Times New Roman"/>
            <w:noProof/>
            <w:sz w:val="24"/>
            <w:szCs w:val="24"/>
          </w:rPr>
          <w:t>1</w:t>
        </w:r>
        <w:r w:rsidR="00B97CB5" w:rsidRPr="00845B7D">
          <w:rPr>
            <w:rFonts w:ascii="Times New Roman" w:hAnsi="Times New Roman" w:cs="Times New Roman"/>
            <w:noProof/>
            <w:sz w:val="24"/>
            <w:szCs w:val="24"/>
          </w:rPr>
          <w:fldChar w:fldCharType="end"/>
        </w:r>
      </w:p>
    </w:sdtContent>
  </w:sdt>
  <w:p w:rsidR="00845B7D" w:rsidRDefault="00845B7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45B7D"/>
    <w:rsid w:val="00037013"/>
    <w:rsid w:val="00065042"/>
    <w:rsid w:val="00114539"/>
    <w:rsid w:val="001E4B76"/>
    <w:rsid w:val="001E7343"/>
    <w:rsid w:val="00234082"/>
    <w:rsid w:val="00250B52"/>
    <w:rsid w:val="002909BA"/>
    <w:rsid w:val="0032243B"/>
    <w:rsid w:val="00342D20"/>
    <w:rsid w:val="003D3EF7"/>
    <w:rsid w:val="004306B5"/>
    <w:rsid w:val="0044474D"/>
    <w:rsid w:val="004D7AF7"/>
    <w:rsid w:val="00562192"/>
    <w:rsid w:val="00571AD1"/>
    <w:rsid w:val="005D3514"/>
    <w:rsid w:val="0063333C"/>
    <w:rsid w:val="006615B1"/>
    <w:rsid w:val="006C26D7"/>
    <w:rsid w:val="006D5467"/>
    <w:rsid w:val="00774CAC"/>
    <w:rsid w:val="007C1419"/>
    <w:rsid w:val="00845B7D"/>
    <w:rsid w:val="00852EDC"/>
    <w:rsid w:val="008821F9"/>
    <w:rsid w:val="008C2AAE"/>
    <w:rsid w:val="008D40E5"/>
    <w:rsid w:val="0094427E"/>
    <w:rsid w:val="00973214"/>
    <w:rsid w:val="009D49BD"/>
    <w:rsid w:val="00AA3983"/>
    <w:rsid w:val="00AD5AC9"/>
    <w:rsid w:val="00B42373"/>
    <w:rsid w:val="00B97CB5"/>
    <w:rsid w:val="00BE4FE3"/>
    <w:rsid w:val="00C04D88"/>
    <w:rsid w:val="00C3038A"/>
    <w:rsid w:val="00C70B1F"/>
    <w:rsid w:val="00CD0101"/>
    <w:rsid w:val="00D15000"/>
    <w:rsid w:val="00D67915"/>
    <w:rsid w:val="00DF2302"/>
    <w:rsid w:val="00F90A0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CB5"/>
  </w:style>
  <w:style w:type="paragraph" w:styleId="Heading1">
    <w:name w:val="heading 1"/>
    <w:basedOn w:val="Normal"/>
    <w:link w:val="Heading1Char"/>
    <w:uiPriority w:val="9"/>
    <w:qFormat/>
    <w:rsid w:val="008821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B7D"/>
  </w:style>
  <w:style w:type="paragraph" w:styleId="Footer">
    <w:name w:val="footer"/>
    <w:basedOn w:val="Normal"/>
    <w:link w:val="FooterChar"/>
    <w:uiPriority w:val="99"/>
    <w:unhideWhenUsed/>
    <w:rsid w:val="0084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B7D"/>
  </w:style>
  <w:style w:type="character" w:customStyle="1" w:styleId="Heading1Char">
    <w:name w:val="Heading 1 Char"/>
    <w:basedOn w:val="DefaultParagraphFont"/>
    <w:link w:val="Heading1"/>
    <w:uiPriority w:val="9"/>
    <w:rsid w:val="008821F9"/>
    <w:rPr>
      <w:rFonts w:ascii="Times New Roman" w:eastAsia="Times New Roman" w:hAnsi="Times New Roman" w:cs="Times New Roman"/>
      <w:b/>
      <w:bCs/>
      <w:kern w:val="36"/>
      <w:sz w:val="48"/>
      <w:szCs w:val="48"/>
    </w:rPr>
  </w:style>
  <w:style w:type="character" w:customStyle="1" w:styleId="trbbylinesnmau">
    <w:name w:val="trb_bylines_nm_au"/>
    <w:basedOn w:val="DefaultParagraphFont"/>
    <w:rsid w:val="008821F9"/>
  </w:style>
  <w:style w:type="character" w:customStyle="1" w:styleId="trbbylinesnmauby">
    <w:name w:val="trb_bylines_nm_au_by"/>
    <w:basedOn w:val="DefaultParagraphFont"/>
    <w:rsid w:val="008821F9"/>
  </w:style>
  <w:style w:type="character" w:customStyle="1" w:styleId="selectable">
    <w:name w:val="selectable"/>
    <w:basedOn w:val="DefaultParagraphFont"/>
    <w:rsid w:val="00250B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821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B7D"/>
  </w:style>
  <w:style w:type="paragraph" w:styleId="Footer">
    <w:name w:val="footer"/>
    <w:basedOn w:val="Normal"/>
    <w:link w:val="FooterChar"/>
    <w:uiPriority w:val="99"/>
    <w:unhideWhenUsed/>
    <w:rsid w:val="0084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B7D"/>
  </w:style>
  <w:style w:type="character" w:customStyle="1" w:styleId="Heading1Char">
    <w:name w:val="Heading 1 Char"/>
    <w:basedOn w:val="DefaultParagraphFont"/>
    <w:link w:val="Heading1"/>
    <w:uiPriority w:val="9"/>
    <w:rsid w:val="008821F9"/>
    <w:rPr>
      <w:rFonts w:ascii="Times New Roman" w:eastAsia="Times New Roman" w:hAnsi="Times New Roman" w:cs="Times New Roman"/>
      <w:b/>
      <w:bCs/>
      <w:kern w:val="36"/>
      <w:sz w:val="48"/>
      <w:szCs w:val="48"/>
    </w:rPr>
  </w:style>
  <w:style w:type="character" w:customStyle="1" w:styleId="trbbylinesnmau">
    <w:name w:val="trb_bylines_nm_au"/>
    <w:basedOn w:val="DefaultParagraphFont"/>
    <w:rsid w:val="008821F9"/>
  </w:style>
  <w:style w:type="character" w:customStyle="1" w:styleId="trbbylinesnmauby">
    <w:name w:val="trb_bylines_nm_au_by"/>
    <w:basedOn w:val="DefaultParagraphFont"/>
    <w:rsid w:val="008821F9"/>
  </w:style>
  <w:style w:type="character" w:customStyle="1" w:styleId="selectable">
    <w:name w:val="selectable"/>
    <w:basedOn w:val="DefaultParagraphFont"/>
    <w:rsid w:val="00250B52"/>
  </w:style>
</w:styles>
</file>

<file path=word/webSettings.xml><?xml version="1.0" encoding="utf-8"?>
<w:webSettings xmlns:r="http://schemas.openxmlformats.org/officeDocument/2006/relationships" xmlns:w="http://schemas.openxmlformats.org/wordprocessingml/2006/main">
  <w:divs>
    <w:div w:id="591667349">
      <w:bodyDiv w:val="1"/>
      <w:marLeft w:val="0"/>
      <w:marRight w:val="0"/>
      <w:marTop w:val="0"/>
      <w:marBottom w:val="0"/>
      <w:divBdr>
        <w:top w:val="none" w:sz="0" w:space="0" w:color="auto"/>
        <w:left w:val="none" w:sz="0" w:space="0" w:color="auto"/>
        <w:bottom w:val="none" w:sz="0" w:space="0" w:color="auto"/>
        <w:right w:val="none" w:sz="0" w:space="0" w:color="auto"/>
      </w:divBdr>
      <w:divsChild>
        <w:div w:id="1031340720">
          <w:marLeft w:val="0"/>
          <w:marRight w:val="0"/>
          <w:marTop w:val="0"/>
          <w:marBottom w:val="0"/>
          <w:divBdr>
            <w:top w:val="none" w:sz="0" w:space="0" w:color="auto"/>
            <w:left w:val="none" w:sz="0" w:space="0" w:color="auto"/>
            <w:bottom w:val="none" w:sz="0" w:space="0" w:color="auto"/>
            <w:right w:val="none" w:sz="0" w:space="0" w:color="auto"/>
          </w:divBdr>
          <w:divsChild>
            <w:div w:id="700781309">
              <w:marLeft w:val="0"/>
              <w:marRight w:val="0"/>
              <w:marTop w:val="0"/>
              <w:marBottom w:val="0"/>
              <w:divBdr>
                <w:top w:val="none" w:sz="0" w:space="0" w:color="auto"/>
                <w:left w:val="none" w:sz="0" w:space="0" w:color="auto"/>
                <w:bottom w:val="none" w:sz="0" w:space="0" w:color="auto"/>
                <w:right w:val="none" w:sz="0" w:space="0" w:color="auto"/>
              </w:divBdr>
            </w:div>
            <w:div w:id="209107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2001</Words>
  <Characters>11409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2018-05-22T14:52:00Z</dcterms:created>
  <dcterms:modified xsi:type="dcterms:W3CDTF">2018-05-22T15:05:00Z</dcterms:modified>
</cp:coreProperties>
</file>